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9E625" w14:textId="77777777" w:rsidR="00FE067E" w:rsidRPr="007C3C17" w:rsidRDefault="00CD36CF" w:rsidP="00CC1F3B">
      <w:pPr>
        <w:pStyle w:val="TitlePageOrigin"/>
        <w:rPr>
          <w:color w:val="auto"/>
        </w:rPr>
      </w:pPr>
      <w:r w:rsidRPr="007C3C17">
        <w:rPr>
          <w:color w:val="auto"/>
        </w:rPr>
        <w:t>WEST virginia legislature</w:t>
      </w:r>
    </w:p>
    <w:p w14:paraId="0D1EF72E" w14:textId="2CDFBC9B" w:rsidR="00CD36CF" w:rsidRPr="007C3C17" w:rsidRDefault="00CD36CF" w:rsidP="00CC1F3B">
      <w:pPr>
        <w:pStyle w:val="TitlePageSession"/>
        <w:rPr>
          <w:color w:val="auto"/>
        </w:rPr>
      </w:pPr>
      <w:r w:rsidRPr="007C3C17">
        <w:rPr>
          <w:color w:val="auto"/>
        </w:rPr>
        <w:t>20</w:t>
      </w:r>
      <w:r w:rsidR="00CB1ADC" w:rsidRPr="007C3C17">
        <w:rPr>
          <w:color w:val="auto"/>
        </w:rPr>
        <w:t>2</w:t>
      </w:r>
      <w:r w:rsidR="00882766" w:rsidRPr="007C3C17">
        <w:rPr>
          <w:color w:val="auto"/>
        </w:rPr>
        <w:t>1</w:t>
      </w:r>
      <w:r w:rsidRPr="007C3C17">
        <w:rPr>
          <w:color w:val="auto"/>
        </w:rPr>
        <w:t xml:space="preserve"> regular session</w:t>
      </w:r>
    </w:p>
    <w:p w14:paraId="77FD5C1A" w14:textId="77777777" w:rsidR="00CD36CF" w:rsidRPr="007C3C17" w:rsidRDefault="00FC2F9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C3C17">
            <w:rPr>
              <w:color w:val="auto"/>
            </w:rPr>
            <w:t>Introduced</w:t>
          </w:r>
        </w:sdtContent>
      </w:sdt>
    </w:p>
    <w:p w14:paraId="4DC33AB8" w14:textId="6556CE60" w:rsidR="00CD36CF" w:rsidRPr="007C3C17" w:rsidRDefault="00FC2F9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C3C17">
            <w:rPr>
              <w:color w:val="auto"/>
            </w:rPr>
            <w:t>House</w:t>
          </w:r>
        </w:sdtContent>
      </w:sdt>
      <w:r w:rsidR="00303684" w:rsidRPr="007C3C17">
        <w:rPr>
          <w:color w:val="auto"/>
        </w:rPr>
        <w:t xml:space="preserve"> </w:t>
      </w:r>
      <w:r w:rsidR="00CD36CF" w:rsidRPr="007C3C1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2703</w:t>
          </w:r>
        </w:sdtContent>
      </w:sdt>
    </w:p>
    <w:p w14:paraId="55B086A0" w14:textId="11552FB5" w:rsidR="00CD36CF" w:rsidRPr="007C3C17" w:rsidRDefault="00CD36CF" w:rsidP="00CC1F3B">
      <w:pPr>
        <w:pStyle w:val="Sponsors"/>
        <w:rPr>
          <w:color w:val="auto"/>
        </w:rPr>
      </w:pPr>
      <w:r w:rsidRPr="007C3C17">
        <w:rPr>
          <w:color w:val="auto"/>
        </w:rPr>
        <w:t xml:space="preserve">By </w:t>
      </w:r>
      <w:sdt>
        <w:sdtPr>
          <w:rPr>
            <w:color w:val="auto"/>
          </w:rPr>
          <w:tag w:val="Sponsors"/>
          <w:id w:val="1589585889"/>
          <w:placeholder>
            <w:docPart w:val="BC6A277E70A54C5D83F0F91084EB54B0"/>
          </w:placeholder>
          <w:text w:multiLine="1"/>
        </w:sdtPr>
        <w:sdtEndPr/>
        <w:sdtContent>
          <w:r w:rsidR="00561D4D" w:rsidRPr="007C3C17">
            <w:rPr>
              <w:color w:val="auto"/>
            </w:rPr>
            <w:t xml:space="preserve">Delegates Rohrbach and Pack </w:t>
          </w:r>
        </w:sdtContent>
      </w:sdt>
    </w:p>
    <w:p w14:paraId="70298389" w14:textId="5CCD5321" w:rsidR="00E831B3" w:rsidRPr="007C3C17" w:rsidRDefault="00CD36CF" w:rsidP="00CC1F3B">
      <w:pPr>
        <w:pStyle w:val="References"/>
        <w:rPr>
          <w:color w:val="auto"/>
        </w:rPr>
      </w:pPr>
      <w:r w:rsidRPr="007C3C17">
        <w:rPr>
          <w:color w:val="auto"/>
        </w:rPr>
        <w:t>[</w:t>
      </w:r>
      <w:sdt>
        <w:sdtPr>
          <w:rPr>
            <w:color w:val="auto"/>
          </w:rPr>
          <w:tag w:val="References"/>
          <w:id w:val="-1043047873"/>
          <w:placeholder>
            <w:docPart w:val="460D713500284C7FB4932CF3609CC106"/>
          </w:placeholder>
          <w:text w:multiLine="1"/>
        </w:sdtPr>
        <w:sdtEndPr/>
        <w:sdtContent>
          <w:r w:rsidR="00FC2F99">
            <w:rPr>
              <w:color w:val="auto"/>
            </w:rPr>
            <w:t>Introduced February 23, 2021; Referred to the Committee on Health and Human Resources</w:t>
          </w:r>
        </w:sdtContent>
      </w:sdt>
      <w:r w:rsidRPr="007C3C17">
        <w:rPr>
          <w:color w:val="auto"/>
        </w:rPr>
        <w:t>]</w:t>
      </w:r>
    </w:p>
    <w:p w14:paraId="03A80FB1" w14:textId="4A59A17C" w:rsidR="00303684" w:rsidRPr="007C3C17" w:rsidRDefault="0000526A" w:rsidP="00CC1F3B">
      <w:pPr>
        <w:pStyle w:val="TitleSection"/>
        <w:rPr>
          <w:color w:val="auto"/>
        </w:rPr>
      </w:pPr>
      <w:r w:rsidRPr="007C3C17">
        <w:rPr>
          <w:color w:val="auto"/>
        </w:rPr>
        <w:lastRenderedPageBreak/>
        <w:t>A BILL</w:t>
      </w:r>
      <w:r w:rsidR="00BC2AD7" w:rsidRPr="007C3C17">
        <w:rPr>
          <w:color w:val="auto"/>
        </w:rPr>
        <w:t xml:space="preserve"> to amend and reenact §30-3-11 of the code of West Virginia, 1931, as amended, relating to a temporary license</w:t>
      </w:r>
      <w:r w:rsidR="007C3C17" w:rsidRPr="007C3C17">
        <w:rPr>
          <w:color w:val="auto"/>
        </w:rPr>
        <w:t xml:space="preserve"> to practice medicine and surgery and podiatry</w:t>
      </w:r>
      <w:r w:rsidR="00BC2AD7" w:rsidRPr="007C3C17">
        <w:rPr>
          <w:color w:val="auto"/>
        </w:rPr>
        <w:t>.</w:t>
      </w:r>
    </w:p>
    <w:p w14:paraId="616EA296" w14:textId="77777777" w:rsidR="00303684" w:rsidRPr="007C3C17" w:rsidRDefault="00303684" w:rsidP="00CC1F3B">
      <w:pPr>
        <w:pStyle w:val="EnactingClause"/>
        <w:rPr>
          <w:color w:val="auto"/>
        </w:rPr>
        <w:sectPr w:rsidR="00303684" w:rsidRPr="007C3C17" w:rsidSect="00BC2AD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0"/>
          <w:cols w:space="720"/>
          <w:titlePg/>
          <w:docGrid w:linePitch="360"/>
        </w:sectPr>
      </w:pPr>
      <w:r w:rsidRPr="007C3C17">
        <w:rPr>
          <w:color w:val="auto"/>
        </w:rPr>
        <w:t>Be it enacted by the Legislature of West Virginia:</w:t>
      </w:r>
    </w:p>
    <w:p w14:paraId="26633E02" w14:textId="77777777" w:rsidR="00882766" w:rsidRPr="007C3C17" w:rsidRDefault="00882766" w:rsidP="00882766">
      <w:pPr>
        <w:pStyle w:val="ArticleHeading"/>
        <w:rPr>
          <w:color w:val="auto"/>
        </w:rPr>
        <w:sectPr w:rsidR="00882766" w:rsidRPr="007C3C17" w:rsidSect="00E205A9">
          <w:type w:val="continuous"/>
          <w:pgSz w:w="12240" w:h="15840" w:code="1"/>
          <w:pgMar w:top="1440" w:right="1440" w:bottom="1440" w:left="1440" w:header="720" w:footer="720" w:gutter="0"/>
          <w:lnNumType w:countBy="1" w:restart="newSection"/>
          <w:cols w:space="720"/>
          <w:titlePg/>
          <w:docGrid w:linePitch="360"/>
        </w:sectPr>
      </w:pPr>
      <w:r w:rsidRPr="007C3C17">
        <w:rPr>
          <w:color w:val="auto"/>
        </w:rPr>
        <w:t>ARTICLE 3. WEST VIRGINIA MEDICAL PRACTICE ACT.</w:t>
      </w:r>
    </w:p>
    <w:p w14:paraId="484EAB5E" w14:textId="77777777" w:rsidR="00882766" w:rsidRPr="007C3C17" w:rsidRDefault="00882766" w:rsidP="00A65FE7">
      <w:pPr>
        <w:pStyle w:val="SectionHeading"/>
        <w:rPr>
          <w:color w:val="auto"/>
        </w:rPr>
      </w:pPr>
      <w:r w:rsidRPr="007C3C17">
        <w:rPr>
          <w:color w:val="auto"/>
        </w:rPr>
        <w:t>§30-3-11. Endorsement of licenses to practice medicine and surgery and podiatry; fees; temporary license; summer camp doctors.</w:t>
      </w:r>
    </w:p>
    <w:p w14:paraId="0D110A6C" w14:textId="0ABB6812" w:rsidR="00882766" w:rsidRPr="007C3C17" w:rsidRDefault="00882766" w:rsidP="00882766">
      <w:pPr>
        <w:pStyle w:val="SectionBody"/>
        <w:rPr>
          <w:color w:val="auto"/>
        </w:rPr>
      </w:pPr>
      <w:r w:rsidRPr="007C3C17">
        <w:rPr>
          <w:color w:val="auto"/>
        </w:rPr>
        <w:t xml:space="preserve">(a) </w:t>
      </w:r>
      <w:r w:rsidRPr="007C3C17">
        <w:rPr>
          <w:color w:val="auto"/>
          <w:u w:val="single"/>
        </w:rPr>
        <w:t>(1)</w:t>
      </w:r>
      <w:r w:rsidRPr="007C3C17">
        <w:rPr>
          <w:color w:val="auto"/>
        </w:rPr>
        <w:t xml:space="preserve"> Any person seeking to be licensed to practice medicine and surgery in this state who holds a valid license to practice medicine and surgery attained under requirements </w:t>
      </w:r>
      <w:r w:rsidRPr="007C3C17">
        <w:rPr>
          <w:strike/>
          <w:color w:val="auto"/>
        </w:rPr>
        <w:t>substantially similar to the requirement of section ten of this article</w:t>
      </w:r>
      <w:r w:rsidRPr="007C3C17">
        <w:rPr>
          <w:color w:val="auto"/>
        </w:rPr>
        <w:t xml:space="preserve"> from another </w:t>
      </w:r>
      <w:r w:rsidRPr="007C3C17">
        <w:rPr>
          <w:strike/>
          <w:color w:val="auto"/>
        </w:rPr>
        <w:t>state, the District of Columbia, the Commonwealth of Puerto Rico or Canada</w:t>
      </w:r>
      <w:r w:rsidRPr="007C3C17">
        <w:rPr>
          <w:color w:val="auto"/>
        </w:rPr>
        <w:t xml:space="preserve"> </w:t>
      </w:r>
      <w:r w:rsidRPr="007C3C17">
        <w:rPr>
          <w:color w:val="auto"/>
          <w:u w:val="single"/>
        </w:rPr>
        <w:t>jurisdiction;</w:t>
      </w:r>
      <w:r w:rsidRPr="007C3C17">
        <w:rPr>
          <w:color w:val="auto"/>
        </w:rPr>
        <w:t xml:space="preserve"> </w:t>
      </w:r>
      <w:r w:rsidRPr="007C3C17">
        <w:rPr>
          <w:strike/>
          <w:color w:val="auto"/>
        </w:rPr>
        <w:t>and</w:t>
      </w:r>
      <w:r w:rsidRPr="007C3C17">
        <w:rPr>
          <w:color w:val="auto"/>
          <w:u w:val="single"/>
        </w:rPr>
        <w:t xml:space="preserve"> or</w:t>
      </w:r>
    </w:p>
    <w:p w14:paraId="61C97978" w14:textId="77777777" w:rsidR="00882766" w:rsidRPr="007C3C17" w:rsidRDefault="00882766" w:rsidP="00882766">
      <w:pPr>
        <w:pStyle w:val="SectionBody"/>
        <w:rPr>
          <w:color w:val="auto"/>
        </w:rPr>
      </w:pPr>
      <w:r w:rsidRPr="007C3C17">
        <w:rPr>
          <w:color w:val="auto"/>
          <w:u w:val="single"/>
        </w:rPr>
        <w:t>(2)</w:t>
      </w:r>
      <w:r w:rsidRPr="007C3C17">
        <w:rPr>
          <w:color w:val="auto"/>
        </w:rPr>
        <w:t xml:space="preserve"> Any person seeking to be licensed to practice podiatry in this state who holds a valid license to practice podiatry attained under requirements </w:t>
      </w:r>
      <w:r w:rsidRPr="007C3C17">
        <w:rPr>
          <w:strike/>
          <w:color w:val="auto"/>
        </w:rPr>
        <w:t>substantially similar to the requirements in section ten of this article</w:t>
      </w:r>
      <w:r w:rsidRPr="007C3C17">
        <w:rPr>
          <w:color w:val="auto"/>
        </w:rPr>
        <w:t xml:space="preserve"> from another </w:t>
      </w:r>
      <w:r w:rsidRPr="007C3C17">
        <w:rPr>
          <w:strike/>
          <w:color w:val="auto"/>
        </w:rPr>
        <w:t>state, territory or foreign country or the District of Columbia</w:t>
      </w:r>
      <w:r w:rsidRPr="007C3C17">
        <w:rPr>
          <w:color w:val="auto"/>
        </w:rPr>
        <w:t xml:space="preserve"> jurisdiction shall be issued a license to practice </w:t>
      </w:r>
      <w:r w:rsidRPr="007C3C17">
        <w:rPr>
          <w:strike/>
          <w:color w:val="auto"/>
        </w:rPr>
        <w:t>medicine and surgery or</w:t>
      </w:r>
      <w:r w:rsidRPr="007C3C17">
        <w:rPr>
          <w:color w:val="auto"/>
        </w:rPr>
        <w:t xml:space="preserve"> podiatry, as appropriate, in this state if he or she meets the following requirements:</w:t>
      </w:r>
    </w:p>
    <w:p w14:paraId="0945DF31" w14:textId="44138ACA" w:rsidR="00882766" w:rsidRPr="007C3C17" w:rsidRDefault="00882766" w:rsidP="00882766">
      <w:pPr>
        <w:pStyle w:val="SectionBody"/>
        <w:rPr>
          <w:color w:val="auto"/>
        </w:rPr>
      </w:pPr>
      <w:r w:rsidRPr="007C3C17">
        <w:rPr>
          <w:strike/>
          <w:color w:val="auto"/>
        </w:rPr>
        <w:t>(1)</w:t>
      </w:r>
      <w:r w:rsidRPr="007C3C17">
        <w:rPr>
          <w:color w:val="auto"/>
        </w:rPr>
        <w:t xml:space="preserve"> </w:t>
      </w:r>
      <w:r w:rsidRPr="007C3C17">
        <w:rPr>
          <w:color w:val="auto"/>
          <w:u w:val="single"/>
        </w:rPr>
        <w:t>(A)</w:t>
      </w:r>
      <w:r w:rsidRPr="007C3C17">
        <w:rPr>
          <w:color w:val="auto"/>
        </w:rPr>
        <w:t xml:space="preserve"> He or she must submit an application to the board on forms provided by the board and remit a </w:t>
      </w:r>
      <w:r w:rsidRPr="007C3C17">
        <w:rPr>
          <w:strike/>
          <w:color w:val="auto"/>
        </w:rPr>
        <w:t>reasonable</w:t>
      </w:r>
      <w:r w:rsidRPr="007C3C17">
        <w:rPr>
          <w:color w:val="auto"/>
        </w:rPr>
        <w:t xml:space="preserve"> licensure fee, </w:t>
      </w:r>
      <w:r w:rsidRPr="007C3C17">
        <w:rPr>
          <w:strike/>
          <w:color w:val="auto"/>
        </w:rPr>
        <w:t>the amount of such reasonable fee to be set by the board</w:t>
      </w:r>
      <w:r w:rsidRPr="007C3C17">
        <w:rPr>
          <w:color w:val="auto"/>
        </w:rPr>
        <w:t xml:space="preserve"> </w:t>
      </w:r>
      <w:r w:rsidRPr="007C3C17">
        <w:rPr>
          <w:color w:val="auto"/>
          <w:u w:val="single"/>
        </w:rPr>
        <w:t>as provided in legislative rule.</w:t>
      </w:r>
      <w:r w:rsidRPr="007C3C17">
        <w:rPr>
          <w:color w:val="auto"/>
        </w:rPr>
        <w:t xml:space="preserve"> The application must, as a minimum, require a statement that the applicant is a licensed physician or podiatrist in good standing and indicate whether any medical disciplinary action has been taken against him or her in the past; and</w:t>
      </w:r>
    </w:p>
    <w:p w14:paraId="5890122C" w14:textId="77777777" w:rsidR="00882766" w:rsidRPr="007C3C17" w:rsidRDefault="00882766" w:rsidP="00882766">
      <w:pPr>
        <w:pStyle w:val="SectionBody"/>
        <w:rPr>
          <w:color w:val="auto"/>
        </w:rPr>
      </w:pPr>
      <w:r w:rsidRPr="007C3C17">
        <w:rPr>
          <w:strike/>
          <w:color w:val="auto"/>
        </w:rPr>
        <w:t>(2)</w:t>
      </w:r>
      <w:r w:rsidRPr="007C3C17">
        <w:rPr>
          <w:color w:val="auto"/>
        </w:rPr>
        <w:t xml:space="preserve"> </w:t>
      </w:r>
      <w:r w:rsidRPr="007C3C17">
        <w:rPr>
          <w:color w:val="auto"/>
          <w:u w:val="single"/>
        </w:rPr>
        <w:t>(B)</w:t>
      </w:r>
      <w:r w:rsidRPr="007C3C17">
        <w:rPr>
          <w:color w:val="auto"/>
        </w:rPr>
        <w:t xml:space="preserve"> He or she must demonstrate to the satisfaction of the board that he or she has the requisite qualifications to provide the same standard of care as a physician or podiatrist initially licensed in this state.</w:t>
      </w:r>
    </w:p>
    <w:p w14:paraId="2A1604BE" w14:textId="77777777" w:rsidR="00882766" w:rsidRPr="007C3C17" w:rsidRDefault="00882766" w:rsidP="00882766">
      <w:pPr>
        <w:pStyle w:val="SectionBody"/>
        <w:rPr>
          <w:color w:val="auto"/>
        </w:rPr>
      </w:pPr>
      <w:r w:rsidRPr="007C3C17">
        <w:rPr>
          <w:color w:val="auto"/>
        </w:rPr>
        <w:t>(b) The board may investigate the applicant and may request a personal interview to review the applicant's qualifications and professional credentials.</w:t>
      </w:r>
    </w:p>
    <w:p w14:paraId="29C0AFF0" w14:textId="58231DF9" w:rsidR="00882766" w:rsidRPr="007C3C17" w:rsidRDefault="00882766" w:rsidP="00882766">
      <w:pPr>
        <w:pStyle w:val="SectionBody"/>
        <w:rPr>
          <w:strike/>
          <w:color w:val="auto"/>
        </w:rPr>
      </w:pPr>
      <w:r w:rsidRPr="007C3C17">
        <w:rPr>
          <w:color w:val="auto"/>
        </w:rPr>
        <w:t>(c) The board may</w:t>
      </w:r>
      <w:r w:rsidRPr="007C3C17">
        <w:rPr>
          <w:strike/>
          <w:color w:val="auto"/>
        </w:rPr>
        <w:t xml:space="preserve"> at its discretion,</w:t>
      </w:r>
      <w:r w:rsidRPr="007C3C17">
        <w:rPr>
          <w:color w:val="auto"/>
        </w:rPr>
        <w:t xml:space="preserve"> grant a temporary license to an individual applying for licensure under this section if the individual meets the requirements of </w:t>
      </w:r>
      <w:r w:rsidRPr="007C3C17">
        <w:rPr>
          <w:strike/>
          <w:color w:val="auto"/>
        </w:rPr>
        <w:t>subdivision (1), subsection (a) of this section</w:t>
      </w:r>
      <w:r w:rsidRPr="007C3C17">
        <w:rPr>
          <w:color w:val="auto"/>
        </w:rPr>
        <w:t xml:space="preserve"> </w:t>
      </w:r>
      <w:r w:rsidRPr="007C3C17">
        <w:rPr>
          <w:color w:val="auto"/>
          <w:u w:val="single"/>
        </w:rPr>
        <w:t>of this section.</w:t>
      </w:r>
      <w:r w:rsidRPr="007C3C17">
        <w:rPr>
          <w:color w:val="auto"/>
        </w:rPr>
        <w:t xml:space="preserve"> </w:t>
      </w:r>
      <w:r w:rsidRPr="007C3C17">
        <w:rPr>
          <w:strike/>
          <w:color w:val="auto"/>
        </w:rPr>
        <w:t>Such</w:t>
      </w:r>
      <w:r w:rsidRPr="007C3C17">
        <w:rPr>
          <w:color w:val="auto"/>
        </w:rPr>
        <w:t xml:space="preserve"> </w:t>
      </w:r>
      <w:r w:rsidR="00174B9D" w:rsidRPr="007C3C17">
        <w:rPr>
          <w:color w:val="auto"/>
          <w:u w:val="single"/>
        </w:rPr>
        <w:t xml:space="preserve">The temporary license provides </w:t>
      </w:r>
      <w:r w:rsidR="00E23376" w:rsidRPr="007C3C17">
        <w:rPr>
          <w:color w:val="auto"/>
          <w:u w:val="single"/>
        </w:rPr>
        <w:t xml:space="preserve">a </w:t>
      </w:r>
      <w:r w:rsidR="00174B9D" w:rsidRPr="007C3C17">
        <w:rPr>
          <w:color w:val="auto"/>
          <w:u w:val="single"/>
        </w:rPr>
        <w:t>temporary license holder the same authority as a permanent licensee, including prescriptive authority.</w:t>
      </w:r>
      <w:r w:rsidR="00174B9D" w:rsidRPr="007C3C17">
        <w:rPr>
          <w:color w:val="auto"/>
        </w:rPr>
        <w:t xml:space="preserve"> </w:t>
      </w:r>
      <w:r w:rsidRPr="007C3C17">
        <w:rPr>
          <w:color w:val="auto"/>
        </w:rPr>
        <w:t xml:space="preserve">The temporary license </w:t>
      </w:r>
      <w:r w:rsidRPr="007C3C17">
        <w:rPr>
          <w:strike/>
          <w:color w:val="auto"/>
        </w:rPr>
        <w:t>shall only be</w:t>
      </w:r>
      <w:r w:rsidRPr="007C3C17">
        <w:rPr>
          <w:color w:val="auto"/>
        </w:rPr>
        <w:t xml:space="preserve"> </w:t>
      </w:r>
      <w:r w:rsidRPr="007C3C17">
        <w:rPr>
          <w:color w:val="auto"/>
          <w:u w:val="single"/>
        </w:rPr>
        <w:t>is</w:t>
      </w:r>
      <w:r w:rsidRPr="007C3C17">
        <w:rPr>
          <w:color w:val="auto"/>
        </w:rPr>
        <w:t xml:space="preserve"> valid </w:t>
      </w:r>
      <w:r w:rsidRPr="007C3C17">
        <w:rPr>
          <w:color w:val="auto"/>
          <w:u w:val="single"/>
        </w:rPr>
        <w:t>until its holder has either been granted or denied a license at the next regular meeting of the board</w:t>
      </w:r>
      <w:r w:rsidR="00174B9D" w:rsidRPr="007C3C17">
        <w:rPr>
          <w:color w:val="auto"/>
          <w:u w:val="single"/>
        </w:rPr>
        <w:t>.</w:t>
      </w:r>
      <w:r w:rsidRPr="007C3C17">
        <w:rPr>
          <w:color w:val="auto"/>
        </w:rPr>
        <w:t xml:space="preserve"> </w:t>
      </w:r>
      <w:r w:rsidRPr="007C3C17">
        <w:rPr>
          <w:strike/>
          <w:color w:val="auto"/>
        </w:rPr>
        <w:t>until the board is able to meet and consider the endorsement request</w:t>
      </w:r>
      <w:r w:rsidRPr="007C3C17">
        <w:rPr>
          <w:color w:val="auto"/>
        </w:rPr>
        <w:t xml:space="preserve">  The board may fix and collect a </w:t>
      </w:r>
      <w:r w:rsidRPr="007C3C17">
        <w:rPr>
          <w:strike/>
          <w:color w:val="auto"/>
        </w:rPr>
        <w:t>reasonable</w:t>
      </w:r>
      <w:r w:rsidRPr="007C3C17">
        <w:rPr>
          <w:color w:val="auto"/>
        </w:rPr>
        <w:t xml:space="preserve"> fee for a temporary license, </w:t>
      </w:r>
      <w:r w:rsidRPr="007C3C17">
        <w:rPr>
          <w:strike/>
          <w:color w:val="auto"/>
        </w:rPr>
        <w:t>the amount of such reasonable fee to be set by the board</w:t>
      </w:r>
      <w:r w:rsidRPr="007C3C17">
        <w:rPr>
          <w:color w:val="auto"/>
        </w:rPr>
        <w:t xml:space="preserve"> </w:t>
      </w:r>
      <w:r w:rsidRPr="007C3C17">
        <w:rPr>
          <w:color w:val="auto"/>
          <w:u w:val="single"/>
        </w:rPr>
        <w:t>as provided in legislative rule.</w:t>
      </w:r>
    </w:p>
    <w:p w14:paraId="6C60318D" w14:textId="602A4587" w:rsidR="008736AA" w:rsidRPr="007C3C17" w:rsidRDefault="00882766" w:rsidP="00174B9D">
      <w:pPr>
        <w:pStyle w:val="SectionBody"/>
        <w:rPr>
          <w:color w:val="auto"/>
        </w:rPr>
      </w:pPr>
      <w:r w:rsidRPr="007C3C17">
        <w:rPr>
          <w:color w:val="auto"/>
        </w:rPr>
        <w:t>(d) The application fee shall be waived, and to the extent consistent with the integrity of the licensure process and the requirements for licensure as set forth in this section and in the relevant legislative rules, the board shall expedite its processing of an individual</w:t>
      </w:r>
      <w:r w:rsidRPr="007C3C17">
        <w:rPr>
          <w:color w:val="auto"/>
        </w:rPr>
        <w:sym w:font="Arial" w:char="0027"/>
      </w:r>
      <w:r w:rsidRPr="007C3C17">
        <w:rPr>
          <w:color w:val="auto"/>
        </w:rPr>
        <w:t xml:space="preserve">s application to practice medicine and surgery, or practice podiatry: </w:t>
      </w:r>
      <w:r w:rsidRPr="007C3C17">
        <w:rPr>
          <w:i/>
          <w:iCs/>
          <w:color w:val="auto"/>
        </w:rPr>
        <w:t>Provided,</w:t>
      </w:r>
      <w:r w:rsidRPr="007C3C17">
        <w:rPr>
          <w:color w:val="auto"/>
        </w:rPr>
        <w:t xml:space="preserve"> That the sole purpose for licensure is to provide services at a children</w:t>
      </w:r>
      <w:r w:rsidRPr="007C3C17">
        <w:rPr>
          <w:color w:val="auto"/>
        </w:rPr>
        <w:sym w:font="Arial" w:char="0027"/>
      </w:r>
      <w:r w:rsidRPr="007C3C17">
        <w:rPr>
          <w:color w:val="auto"/>
        </w:rPr>
        <w:t>s summer camp for not more than one specifically designated three week period annually. The license shall be issued for a period of the specifically designated three weeks only, on an annual basis.</w:t>
      </w:r>
    </w:p>
    <w:p w14:paraId="4159DEFD" w14:textId="77777777" w:rsidR="00C33014" w:rsidRPr="007C3C17" w:rsidRDefault="00C33014" w:rsidP="00CC1F3B">
      <w:pPr>
        <w:pStyle w:val="Note"/>
        <w:rPr>
          <w:color w:val="auto"/>
        </w:rPr>
      </w:pPr>
    </w:p>
    <w:p w14:paraId="2FCC77FD" w14:textId="33D946EC" w:rsidR="006865E9" w:rsidRPr="007C3C17" w:rsidRDefault="00CF1DCA" w:rsidP="00CC1F3B">
      <w:pPr>
        <w:pStyle w:val="Note"/>
        <w:rPr>
          <w:color w:val="auto"/>
        </w:rPr>
      </w:pPr>
      <w:r w:rsidRPr="007C3C17">
        <w:rPr>
          <w:color w:val="auto"/>
        </w:rPr>
        <w:t>NOTE: The</w:t>
      </w:r>
      <w:r w:rsidR="006865E9" w:rsidRPr="007C3C17">
        <w:rPr>
          <w:color w:val="auto"/>
        </w:rPr>
        <w:t xml:space="preserve"> purpose of this bill is to </w:t>
      </w:r>
      <w:r w:rsidR="00396483" w:rsidRPr="007C3C17">
        <w:rPr>
          <w:color w:val="auto"/>
        </w:rPr>
        <w:t xml:space="preserve">clarify that a temporary permit to practice medicine conveys the same authority unto the holder as a license.  </w:t>
      </w:r>
    </w:p>
    <w:p w14:paraId="5223E3D9" w14:textId="77777777" w:rsidR="006865E9" w:rsidRPr="007C3C17" w:rsidRDefault="00AE48A0" w:rsidP="00CC1F3B">
      <w:pPr>
        <w:pStyle w:val="Note"/>
        <w:rPr>
          <w:color w:val="auto"/>
        </w:rPr>
      </w:pPr>
      <w:r w:rsidRPr="007C3C17">
        <w:rPr>
          <w:color w:val="auto"/>
        </w:rPr>
        <w:t>Strike-throughs indicate language that would be stricken from a heading or the present law and underscoring indicates new language that would be added.</w:t>
      </w:r>
    </w:p>
    <w:sectPr w:rsidR="006865E9" w:rsidRPr="007C3C1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FD4E7" w14:textId="77777777" w:rsidR="00E7188E" w:rsidRPr="00B844FE" w:rsidRDefault="00E7188E" w:rsidP="00B844FE">
      <w:r>
        <w:separator/>
      </w:r>
    </w:p>
  </w:endnote>
  <w:endnote w:type="continuationSeparator" w:id="0">
    <w:p w14:paraId="0DB2DAB6" w14:textId="77777777" w:rsidR="00E7188E" w:rsidRPr="00B844FE" w:rsidRDefault="00E718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852CE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300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7F3C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F4A3" w14:textId="77777777" w:rsidR="00A65FE7" w:rsidRDefault="00A6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9043" w14:textId="77777777" w:rsidR="00E7188E" w:rsidRPr="00B844FE" w:rsidRDefault="00E7188E" w:rsidP="00B844FE">
      <w:r>
        <w:separator/>
      </w:r>
    </w:p>
  </w:footnote>
  <w:footnote w:type="continuationSeparator" w:id="0">
    <w:p w14:paraId="2B779630" w14:textId="77777777" w:rsidR="00E7188E" w:rsidRPr="00B844FE" w:rsidRDefault="00E718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BF1F" w14:textId="77777777" w:rsidR="002A0269" w:rsidRPr="00B844FE" w:rsidRDefault="00FC2F9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4A64" w14:textId="7A74151C" w:rsidR="00C33014" w:rsidRPr="00C33014" w:rsidRDefault="00AE48A0" w:rsidP="000573A9">
    <w:pPr>
      <w:pStyle w:val="HeaderStyle"/>
    </w:pPr>
    <w:r>
      <w:t>I</w:t>
    </w:r>
    <w:r w:rsidR="001A66B7">
      <w:t xml:space="preserve">ntr </w:t>
    </w:r>
    <w:sdt>
      <w:sdtPr>
        <w:tag w:val="BNumWH"/>
        <w:id w:val="138549797"/>
        <w:placeholder>
          <w:docPart w:val="86250C4239554C30A5F3CE05B3F94863"/>
        </w:placeholder>
        <w:showingPlcHdr/>
        <w:text/>
      </w:sdtPr>
      <w:sdtEndPr/>
      <w:sdtContent/>
    </w:sdt>
    <w:r w:rsidR="007A5259">
      <w:t xml:space="preserve"> </w:t>
    </w:r>
    <w:r w:rsidR="00A65FE7">
      <w:t>HB</w:t>
    </w:r>
    <w:r w:rsidR="00C33014" w:rsidRPr="002A0269">
      <w:ptab w:relativeTo="margin" w:alignment="center" w:leader="none"/>
    </w:r>
    <w:r w:rsidR="00C33014">
      <w:tab/>
    </w:r>
    <w:sdt>
      <w:sdtPr>
        <w:alias w:val="CBD Number"/>
        <w:tag w:val="CBD Number"/>
        <w:id w:val="1176923086"/>
        <w:lock w:val="sdtLocked"/>
        <w:text/>
      </w:sdtPr>
      <w:sdtEndPr/>
      <w:sdtContent>
        <w:r w:rsidR="00A65FE7">
          <w:t>2021R2707</w:t>
        </w:r>
      </w:sdtContent>
    </w:sdt>
  </w:p>
  <w:p w14:paraId="1868C7C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CE18" w14:textId="4CE98D25" w:rsidR="002A0269" w:rsidRPr="002A0269" w:rsidRDefault="00FC2F99" w:rsidP="00CC1F3B">
    <w:pPr>
      <w:pStyle w:val="HeaderStyle"/>
    </w:pPr>
    <w:sdt>
      <w:sdtPr>
        <w:tag w:val="BNumWH"/>
        <w:id w:val="-1890952866"/>
        <w:placeholder>
          <w:docPart w:val="E9511E20FE9F4C61A88E422C4D3FA10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65FE7">
          <w:t>2021R2707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7UwNTYzNzQwtjRR0lEKTi0uzszPAykwqgUAAUqMYiwAAAA="/>
  </w:docVars>
  <w:rsids>
    <w:rsidRoot w:val="00CB1ADC"/>
    <w:rsid w:val="0000526A"/>
    <w:rsid w:val="000573A9"/>
    <w:rsid w:val="00085D22"/>
    <w:rsid w:val="000C5C77"/>
    <w:rsid w:val="000C7452"/>
    <w:rsid w:val="000E3912"/>
    <w:rsid w:val="0010070F"/>
    <w:rsid w:val="00145FB1"/>
    <w:rsid w:val="0015112E"/>
    <w:rsid w:val="001552E7"/>
    <w:rsid w:val="001566B4"/>
    <w:rsid w:val="00170AED"/>
    <w:rsid w:val="00174B9D"/>
    <w:rsid w:val="001A66B7"/>
    <w:rsid w:val="001C279E"/>
    <w:rsid w:val="001D459E"/>
    <w:rsid w:val="0027011C"/>
    <w:rsid w:val="00274200"/>
    <w:rsid w:val="00275740"/>
    <w:rsid w:val="002A0269"/>
    <w:rsid w:val="002D47C8"/>
    <w:rsid w:val="00303684"/>
    <w:rsid w:val="003143F5"/>
    <w:rsid w:val="00314854"/>
    <w:rsid w:val="00394191"/>
    <w:rsid w:val="00396483"/>
    <w:rsid w:val="003C51CD"/>
    <w:rsid w:val="0043355E"/>
    <w:rsid w:val="004368E0"/>
    <w:rsid w:val="004C13DD"/>
    <w:rsid w:val="004E3441"/>
    <w:rsid w:val="00500579"/>
    <w:rsid w:val="00561D4D"/>
    <w:rsid w:val="005A3DAE"/>
    <w:rsid w:val="005A5366"/>
    <w:rsid w:val="005B3E1A"/>
    <w:rsid w:val="006369EB"/>
    <w:rsid w:val="00637E73"/>
    <w:rsid w:val="006865E9"/>
    <w:rsid w:val="00691F3E"/>
    <w:rsid w:val="00694BFB"/>
    <w:rsid w:val="006A106B"/>
    <w:rsid w:val="006B7505"/>
    <w:rsid w:val="006C523D"/>
    <w:rsid w:val="006D4036"/>
    <w:rsid w:val="006F25E0"/>
    <w:rsid w:val="007A5259"/>
    <w:rsid w:val="007A7081"/>
    <w:rsid w:val="007C3C17"/>
    <w:rsid w:val="007F1CF5"/>
    <w:rsid w:val="00834EDE"/>
    <w:rsid w:val="008736AA"/>
    <w:rsid w:val="00882766"/>
    <w:rsid w:val="008D275D"/>
    <w:rsid w:val="00980327"/>
    <w:rsid w:val="00986478"/>
    <w:rsid w:val="009B5557"/>
    <w:rsid w:val="009F1067"/>
    <w:rsid w:val="00A31E01"/>
    <w:rsid w:val="00A527AD"/>
    <w:rsid w:val="00A65FE7"/>
    <w:rsid w:val="00A718CF"/>
    <w:rsid w:val="00AE48A0"/>
    <w:rsid w:val="00AE61BE"/>
    <w:rsid w:val="00B16F25"/>
    <w:rsid w:val="00B24422"/>
    <w:rsid w:val="00B66B81"/>
    <w:rsid w:val="00B80C20"/>
    <w:rsid w:val="00B844FE"/>
    <w:rsid w:val="00B86B4F"/>
    <w:rsid w:val="00BA1F84"/>
    <w:rsid w:val="00BC2AD7"/>
    <w:rsid w:val="00BC562B"/>
    <w:rsid w:val="00C33014"/>
    <w:rsid w:val="00C33434"/>
    <w:rsid w:val="00C34869"/>
    <w:rsid w:val="00C42EB6"/>
    <w:rsid w:val="00C85096"/>
    <w:rsid w:val="00CB1ADC"/>
    <w:rsid w:val="00CB20EF"/>
    <w:rsid w:val="00CB6142"/>
    <w:rsid w:val="00CC1F3B"/>
    <w:rsid w:val="00CD12CB"/>
    <w:rsid w:val="00CD36CF"/>
    <w:rsid w:val="00CF1DCA"/>
    <w:rsid w:val="00D20F76"/>
    <w:rsid w:val="00D25B50"/>
    <w:rsid w:val="00D579FC"/>
    <w:rsid w:val="00D81C16"/>
    <w:rsid w:val="00DE526B"/>
    <w:rsid w:val="00DF199D"/>
    <w:rsid w:val="00E01542"/>
    <w:rsid w:val="00E23376"/>
    <w:rsid w:val="00E365F1"/>
    <w:rsid w:val="00E62F48"/>
    <w:rsid w:val="00E7188E"/>
    <w:rsid w:val="00E831B3"/>
    <w:rsid w:val="00E95FBC"/>
    <w:rsid w:val="00EC5705"/>
    <w:rsid w:val="00EE70CB"/>
    <w:rsid w:val="00F04735"/>
    <w:rsid w:val="00F41CA2"/>
    <w:rsid w:val="00F443C0"/>
    <w:rsid w:val="00F62EFB"/>
    <w:rsid w:val="00F939A4"/>
    <w:rsid w:val="00FA7B09"/>
    <w:rsid w:val="00FC2F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83D70"/>
  <w15:chartTrackingRefBased/>
  <w15:docId w15:val="{A503298B-281E-498A-8F37-54120621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82766"/>
    <w:rPr>
      <w:rFonts w:eastAsia="Calibri"/>
      <w:b/>
      <w:caps/>
      <w:color w:val="000000"/>
      <w:sz w:val="24"/>
    </w:rPr>
  </w:style>
  <w:style w:type="character" w:customStyle="1" w:styleId="SectionBodyChar">
    <w:name w:val="Section Body Char"/>
    <w:link w:val="SectionBody"/>
    <w:rsid w:val="00882766"/>
    <w:rPr>
      <w:rFonts w:eastAsia="Calibri"/>
      <w:color w:val="000000"/>
    </w:rPr>
  </w:style>
  <w:style w:type="character" w:customStyle="1" w:styleId="SectionHeadingChar">
    <w:name w:val="Section Heading Char"/>
    <w:link w:val="SectionHeading"/>
    <w:rsid w:val="008827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7517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7517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7517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7517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75178" w:rsidRDefault="00075561">
          <w:pPr>
            <w:pStyle w:val="460D713500284C7FB4932CF3609CC106"/>
          </w:pPr>
          <w:r>
            <w:rPr>
              <w:rStyle w:val="PlaceholderText"/>
            </w:rPr>
            <w:t>Enter References</w:t>
          </w:r>
        </w:p>
      </w:docPartBody>
    </w:docPart>
    <w:docPart>
      <w:docPartPr>
        <w:name w:val="86250C4239554C30A5F3CE05B3F94863"/>
        <w:category>
          <w:name w:val="General"/>
          <w:gallery w:val="placeholder"/>
        </w:category>
        <w:types>
          <w:type w:val="bbPlcHdr"/>
        </w:types>
        <w:behaviors>
          <w:behavior w:val="content"/>
        </w:behaviors>
        <w:guid w:val="{6AD59B5B-E439-4976-A9CF-EB0458381ADE}"/>
      </w:docPartPr>
      <w:docPartBody>
        <w:p w:rsidR="00515212" w:rsidRDefault="00515212"/>
      </w:docPartBody>
    </w:docPart>
    <w:docPart>
      <w:docPartPr>
        <w:name w:val="E9511E20FE9F4C61A88E422C4D3FA101"/>
        <w:category>
          <w:name w:val="General"/>
          <w:gallery w:val="placeholder"/>
        </w:category>
        <w:types>
          <w:type w:val="bbPlcHdr"/>
        </w:types>
        <w:behaviors>
          <w:behavior w:val="content"/>
        </w:behaviors>
        <w:guid w:val="{7B630C17-8F62-4FC8-A1D1-3EA661BB7C0D}"/>
      </w:docPartPr>
      <w:docPartBody>
        <w:p w:rsidR="00515212" w:rsidRDefault="00515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178"/>
    <w:rsid w:val="00075561"/>
    <w:rsid w:val="002F7500"/>
    <w:rsid w:val="00515212"/>
    <w:rsid w:val="007C582E"/>
    <w:rsid w:val="00D34072"/>
    <w:rsid w:val="00D77890"/>
    <w:rsid w:val="00DA4BF1"/>
    <w:rsid w:val="00F1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2021-02-22T15:15:00Z</dcterms:created>
  <dcterms:modified xsi:type="dcterms:W3CDTF">2021-02-22T15:15:00Z</dcterms:modified>
</cp:coreProperties>
</file>